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2C5" w:rsidRPr="00AF62C5" w:rsidRDefault="00AF62C5">
      <w:pPr>
        <w:rPr>
          <w:rFonts w:ascii="Bahnschrift" w:hAnsi="Bahnschrift"/>
          <w:color w:val="3B77B0"/>
          <w14:shadow w14:blurRad="50800" w14:dist="50800" w14:dir="5400000" w14:sx="0" w14:sy="0" w14:kx="0" w14:ky="0" w14:algn="ctr">
            <w14:srgbClr w14:val="000000">
              <w14:alpha w14:val="80000"/>
            </w14:srgbClr>
          </w14:shadow>
        </w:rPr>
      </w:pPr>
    </w:p>
    <w:p w:rsidR="00AF62C5" w:rsidRDefault="00AF62C5" w:rsidP="00AF62C5">
      <w:pPr>
        <w:spacing w:before="18" w:line="264" w:lineRule="auto"/>
        <w:ind w:left="810" w:right="4403" w:firstLine="15"/>
        <w:rPr>
          <w:rFonts w:ascii="Bahnschrift" w:hAnsi="Bahnschrift"/>
          <w:b/>
          <w:color w:val="3B77B0"/>
          <w:w w:val="90"/>
          <w:sz w:val="25"/>
          <w:lang w:val="de-DE"/>
        </w:rPr>
      </w:pPr>
    </w:p>
    <w:p w:rsidR="00AF62C5" w:rsidRDefault="00AF62C5" w:rsidP="00AF62C5">
      <w:pPr>
        <w:spacing w:before="18" w:line="264" w:lineRule="auto"/>
        <w:ind w:left="810" w:right="11" w:firstLine="15"/>
        <w:rPr>
          <w:rFonts w:ascii="Bahnschrift" w:hAnsi="Bahnschrift"/>
          <w:b/>
          <w:color w:val="3B77B0"/>
          <w:w w:val="90"/>
          <w:sz w:val="25"/>
          <w:lang w:val="de-DE"/>
        </w:rPr>
      </w:pPr>
      <w:r w:rsidRPr="00AF62C5">
        <w:rPr>
          <w:rFonts w:ascii="Bahnschrift" w:hAnsi="Bahnschrift"/>
          <w:b/>
          <w:color w:val="3B77B0"/>
          <w:w w:val="90"/>
          <w:sz w:val="25"/>
          <w:lang w:val="de-DE"/>
        </w:rPr>
        <w:t>Allgemeine Geschäftsbedingungen für Werkverträge mit</w:t>
      </w:r>
      <w:r>
        <w:rPr>
          <w:rFonts w:ascii="Bahnschrift" w:hAnsi="Bahnschrift"/>
          <w:b/>
          <w:color w:val="3B77B0"/>
          <w:w w:val="90"/>
          <w:sz w:val="25"/>
          <w:lang w:val="de-DE"/>
        </w:rPr>
        <w:t xml:space="preserve"> </w:t>
      </w:r>
      <w:r w:rsidRPr="00AF62C5">
        <w:rPr>
          <w:rFonts w:ascii="Bahnschrift" w:hAnsi="Bahnschrift"/>
          <w:b/>
          <w:color w:val="3B77B0"/>
          <w:w w:val="90"/>
          <w:sz w:val="25"/>
          <w:lang w:val="de-DE"/>
        </w:rPr>
        <w:t xml:space="preserve">Verbrauchern </w:t>
      </w:r>
    </w:p>
    <w:p w:rsidR="00AF62C5" w:rsidRPr="00AF62C5" w:rsidRDefault="00AF62C5" w:rsidP="00AF62C5">
      <w:pPr>
        <w:spacing w:before="18" w:line="264" w:lineRule="auto"/>
        <w:ind w:left="810" w:right="11" w:firstLine="15"/>
        <w:rPr>
          <w:rFonts w:ascii="Bahnschrift" w:hAnsi="Bahnschrift"/>
          <w:b/>
          <w:color w:val="3B77B0"/>
          <w:w w:val="90"/>
          <w:sz w:val="25"/>
          <w:lang w:val="de-DE"/>
        </w:rPr>
      </w:pPr>
      <w:r w:rsidRPr="00AF62C5">
        <w:rPr>
          <w:rFonts w:ascii="Bahnschrift" w:hAnsi="Bahnschrift"/>
          <w:b/>
          <w:color w:val="3B77B0"/>
          <w:w w:val="90"/>
          <w:sz w:val="25"/>
          <w:lang w:val="de-DE"/>
        </w:rPr>
        <w:t>(private Auftraggeber)</w:t>
      </w:r>
    </w:p>
    <w:p w:rsidR="00AF62C5" w:rsidRPr="00AF62C5" w:rsidRDefault="00AF62C5" w:rsidP="00AF62C5">
      <w:pPr>
        <w:spacing w:before="18" w:line="264" w:lineRule="auto"/>
        <w:ind w:left="810" w:right="4403" w:firstLine="15"/>
        <w:rPr>
          <w:rFonts w:ascii="Bahnschrift" w:hAnsi="Bahnschrift"/>
          <w:b/>
          <w:color w:val="3B77B0"/>
          <w:w w:val="90"/>
          <w:sz w:val="25"/>
          <w:lang w:val="de-DE"/>
        </w:rPr>
      </w:pPr>
      <w:r w:rsidRPr="00AF62C5">
        <w:rPr>
          <w:rFonts w:ascii="Bahnschrift" w:hAnsi="Bahnschrift"/>
          <w:b/>
          <w:color w:val="3B77B0"/>
          <w:w w:val="90"/>
          <w:sz w:val="25"/>
          <w:lang w:val="de-DE"/>
        </w:rPr>
        <w:t xml:space="preserve"> </w:t>
      </w:r>
    </w:p>
    <w:p w:rsidR="00AF62C5" w:rsidRPr="00AF62C5" w:rsidRDefault="00AF62C5" w:rsidP="00AF62C5">
      <w:pPr>
        <w:spacing w:before="18" w:line="264" w:lineRule="auto"/>
        <w:ind w:left="810" w:right="4403" w:firstLine="15"/>
        <w:rPr>
          <w:rFonts w:ascii="Bahnschrift" w:hAnsi="Bahnschrift"/>
          <w:b/>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1.</w:t>
      </w:r>
      <w:r w:rsidRPr="00AF62C5">
        <w:rPr>
          <w:rFonts w:ascii="Bahnschrift" w:hAnsi="Bahnschrift"/>
          <w:color w:val="3B77B0"/>
          <w:w w:val="90"/>
          <w:sz w:val="25"/>
          <w:lang w:val="de-DE"/>
        </w:rPr>
        <w:tab/>
        <w:t>Allgemeines</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Maßgebliche Vertragsgrundlage für den vom Unternehmer auszu­führenden Auftrag des Verbrauchers sind vorrangig individuelle Vereinbarungen sowie nachrangig die nachstehenden Allgemeinen Geschäftsbedingungen. Alle Vertragsabreden sollen in Textform (§ 126b BGB) oder in elektronischer Form (§ 126a BGB) erfolgen.</w:t>
      </w:r>
    </w:p>
    <w:p w:rsidR="00AF62C5" w:rsidRPr="00AF62C5" w:rsidRDefault="00AF62C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II. Angebote und Unterlagen</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Angebote, Kalkulationen, Pläne, Zeichnungen, Berechnungen, Kostenanschläge oder andere Unterlagen des Unternehmers dürfen ohne seine Zustimmung weder vervielfältigt oder geändert noch dritten Personen zugänglich gemacht werden. Bei Nichterteilung des Auftrags sind die Unterlagen einschl. Kopien unverzüglich an den Unternehmer herauszugeben. Bei von ihm verschu</w:t>
      </w:r>
      <w:r>
        <w:rPr>
          <w:rFonts w:ascii="Bahnschrift" w:hAnsi="Bahnschrift"/>
          <w:color w:val="3B77B0"/>
          <w:w w:val="90"/>
          <w:sz w:val="25"/>
          <w:lang w:val="de-DE"/>
        </w:rPr>
        <w:t>l</w:t>
      </w:r>
      <w:r w:rsidRPr="00AF62C5">
        <w:rPr>
          <w:rFonts w:ascii="Bahnschrift" w:hAnsi="Bahnschrift"/>
          <w:color w:val="3B77B0"/>
          <w:w w:val="90"/>
          <w:sz w:val="25"/>
          <w:lang w:val="de-DE"/>
        </w:rPr>
        <w:t>deter Unmöglichkeit der Herausgabe haftet der Verbraucher auf Schadensersatz.</w:t>
      </w:r>
    </w:p>
    <w:p w:rsidR="00AF62C5" w:rsidRPr="00AF62C5" w:rsidRDefault="00AF62C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Pr>
          <w:rFonts w:ascii="Bahnschrift" w:hAnsi="Bahnschrift"/>
          <w:color w:val="3B77B0"/>
          <w:w w:val="90"/>
          <w:sz w:val="25"/>
          <w:lang w:val="de-DE"/>
        </w:rPr>
        <w:t>III</w:t>
      </w:r>
      <w:r w:rsidRPr="00AF62C5">
        <w:rPr>
          <w:rFonts w:ascii="Bahnschrift" w:hAnsi="Bahnschrift"/>
          <w:color w:val="3B77B0"/>
          <w:w w:val="90"/>
          <w:sz w:val="25"/>
          <w:lang w:val="de-DE"/>
        </w:rPr>
        <w:t>. Preise</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1.</w:t>
      </w:r>
      <w:r w:rsidRPr="00AF62C5">
        <w:rPr>
          <w:rFonts w:ascii="Bahnschrift" w:hAnsi="Bahnschrift"/>
          <w:color w:val="3B77B0"/>
          <w:w w:val="90"/>
          <w:sz w:val="25"/>
          <w:lang w:val="de-DE"/>
        </w:rPr>
        <w:tab/>
        <w:t>Für vom Auftragnehmer angeordnete Über-, Nacht-, Sonn- und Feiertagsstunden sowie für Arbeit unter erschwerten Bedingungen werden Zuschläge berechnet. Die Berechnung setzt voraus, dass der Auftragnehmer spätestens im Zeitpunkt der Beauftragung oder des Beginns der entsprechenden Arbeit dem Auftraggeber die erhöhten Stundensätze mitgeteilt hat.</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2.</w:t>
      </w:r>
      <w:r w:rsidRPr="00AF62C5">
        <w:rPr>
          <w:rFonts w:ascii="Bahnschrift" w:hAnsi="Bahnschrift"/>
          <w:color w:val="3B77B0"/>
          <w:w w:val="90"/>
          <w:sz w:val="25"/>
          <w:lang w:val="de-DE"/>
        </w:rPr>
        <w:tab/>
        <w:t xml:space="preserve">Soweit erforderlich, werden Strom-, Gas-, Wasser- oder Abwasseranschluss dem Unternehmer unentgeltlich zur Verfügung gestellt. Die Verbrauchskosten </w:t>
      </w:r>
      <w:proofErr w:type="gramStart"/>
      <w:r w:rsidRPr="00AF62C5">
        <w:rPr>
          <w:rFonts w:ascii="Bahnschrift" w:hAnsi="Bahnschrift"/>
          <w:color w:val="3B77B0"/>
          <w:w w:val="90"/>
          <w:sz w:val="25"/>
          <w:lang w:val="de-DE"/>
        </w:rPr>
        <w:t>trägt</w:t>
      </w:r>
      <w:proofErr w:type="gramEnd"/>
      <w:r w:rsidRPr="00AF62C5">
        <w:rPr>
          <w:rFonts w:ascii="Bahnschrift" w:hAnsi="Bahnschrift"/>
          <w:color w:val="3B77B0"/>
          <w:w w:val="90"/>
          <w:sz w:val="25"/>
          <w:lang w:val="de-DE"/>
        </w:rPr>
        <w:t xml:space="preserve"> der Unternehmer</w:t>
      </w:r>
      <w:r>
        <w:rPr>
          <w:rFonts w:ascii="Bahnschrift" w:hAnsi="Bahnschrift"/>
          <w:color w:val="3B77B0"/>
          <w:w w:val="90"/>
          <w:sz w:val="25"/>
          <w:lang w:val="de-DE"/>
        </w:rPr>
        <w:t>.</w:t>
      </w:r>
    </w:p>
    <w:p w:rsidR="00AF62C5" w:rsidRPr="00AF62C5" w:rsidRDefault="00AF62C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IV.</w:t>
      </w:r>
      <w:r w:rsidRPr="00AF62C5">
        <w:rPr>
          <w:rFonts w:ascii="Bahnschrift" w:hAnsi="Bahnschrift"/>
          <w:color w:val="3B77B0"/>
          <w:w w:val="90"/>
          <w:sz w:val="25"/>
          <w:lang w:val="de-DE"/>
        </w:rPr>
        <w:tab/>
        <w:t>Zahlungsbedingungen und Verzug</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1.</w:t>
      </w:r>
      <w:r w:rsidRPr="00AF62C5">
        <w:rPr>
          <w:rFonts w:ascii="Bahnschrift" w:hAnsi="Bahnschrift"/>
          <w:color w:val="3B77B0"/>
          <w:w w:val="90"/>
          <w:sz w:val="25"/>
          <w:lang w:val="de-DE"/>
        </w:rPr>
        <w:tab/>
        <w:t>Nach Abnahme des Werkes sind Rechnungen sofort fällig und zahlbar. § 650g Abs. 4 BGB bleibt unberührt. Alle Zahlungen sind auf das Äußerste zu beschleunigen und vom Verbraucher ohne jeden Abzug nach Abnahme und spätestens binnen 14 Tagen nach Rechnungserhalt an den Unternehmer zu leisten. Nach Ab­ lauf der 14-Tages-Frist befindet sich der Verbraucher in Verzug, sofern er die Nichtzahlung zu vertreten hat.</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2.</w:t>
      </w:r>
      <w:r w:rsidRPr="00AF62C5">
        <w:rPr>
          <w:rFonts w:ascii="Bahnschrift" w:hAnsi="Bahnschrift"/>
          <w:color w:val="3B77B0"/>
          <w:w w:val="90"/>
          <w:sz w:val="25"/>
          <w:lang w:val="de-DE"/>
        </w:rPr>
        <w:tab/>
        <w:t>Der Verbraucher kann nur mit unbestrittenen oder rechtskräftig festgestellten Gegenforderungen aufrechnen.</w:t>
      </w:r>
    </w:p>
    <w:p w:rsidR="00AF62C5" w:rsidRPr="00AF62C5" w:rsidRDefault="00AF62C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V.</w:t>
      </w:r>
      <w:r w:rsidRPr="00AF62C5">
        <w:rPr>
          <w:rFonts w:ascii="Bahnschrift" w:hAnsi="Bahnschrift"/>
          <w:color w:val="3B77B0"/>
          <w:w w:val="90"/>
          <w:sz w:val="25"/>
          <w:lang w:val="de-DE"/>
        </w:rPr>
        <w:tab/>
        <w:t>Abnahme</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 xml:space="preserve">Die vereinbarte Werkleistung ist nach Fertigstellung abzunehmen, auch wenn die Feinjustierung der Anlage noch nicht erfolgt ist. Dies gilt insbesondere </w:t>
      </w:r>
      <w:r w:rsidRPr="00AF62C5">
        <w:rPr>
          <w:rFonts w:ascii="Bahnschrift" w:hAnsi="Bahnschrift"/>
          <w:color w:val="3B77B0"/>
          <w:w w:val="90"/>
          <w:sz w:val="25"/>
          <w:lang w:val="de-DE"/>
        </w:rPr>
        <w:t>bei vorzeitiger</w:t>
      </w:r>
      <w:r w:rsidRPr="00AF62C5">
        <w:rPr>
          <w:rFonts w:ascii="Bahnschrift" w:hAnsi="Bahnschrift"/>
          <w:color w:val="3B77B0"/>
          <w:w w:val="90"/>
          <w:sz w:val="25"/>
          <w:lang w:val="de-DE"/>
        </w:rPr>
        <w:t xml:space="preserve"> Inbetriebnahme (Baustellenheizung).</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Im Übrigen gilt § 640 BGB.</w:t>
      </w:r>
    </w:p>
    <w:p w:rsidR="00AF62C5" w:rsidRDefault="00AF62C5" w:rsidP="00AF62C5">
      <w:pPr>
        <w:spacing w:before="18" w:line="264" w:lineRule="auto"/>
        <w:ind w:left="810" w:right="11" w:firstLine="15"/>
        <w:rPr>
          <w:rFonts w:ascii="Bahnschrift" w:hAnsi="Bahnschrift"/>
          <w:color w:val="3B77B0"/>
          <w:w w:val="90"/>
          <w:sz w:val="25"/>
          <w:lang w:val="de-DE"/>
        </w:rPr>
      </w:pPr>
    </w:p>
    <w:p w:rsidR="00AF62C5" w:rsidRDefault="00AF62C5" w:rsidP="00AF62C5">
      <w:pPr>
        <w:spacing w:before="18" w:line="264" w:lineRule="auto"/>
        <w:ind w:left="810" w:right="11" w:firstLine="15"/>
        <w:rPr>
          <w:rFonts w:ascii="Bahnschrift" w:hAnsi="Bahnschrift"/>
          <w:color w:val="3B77B0"/>
          <w:w w:val="90"/>
          <w:sz w:val="25"/>
          <w:lang w:val="de-DE"/>
        </w:rPr>
      </w:pPr>
    </w:p>
    <w:p w:rsidR="00AF62C5" w:rsidRDefault="00AF62C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p>
    <w:p w:rsidR="000632A5" w:rsidRDefault="000632A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VI.</w:t>
      </w:r>
      <w:r w:rsidRPr="00AF62C5">
        <w:rPr>
          <w:rFonts w:ascii="Bahnschrift" w:hAnsi="Bahnschrift"/>
          <w:color w:val="3B77B0"/>
          <w:w w:val="90"/>
          <w:sz w:val="25"/>
          <w:lang w:val="de-DE"/>
        </w:rPr>
        <w:tab/>
        <w:t>Haftung auf Schadensersatz</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Auf Schadensersatz haftet der Auftragnehmer - gleich aus welchem Rechtsgrund - im Rahmen der Verschuldenshaftung nur</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a.</w:t>
      </w:r>
      <w:r w:rsidRPr="00AF62C5">
        <w:rPr>
          <w:rFonts w:ascii="Bahnschrift" w:hAnsi="Bahnschrift"/>
          <w:color w:val="3B77B0"/>
          <w:w w:val="90"/>
          <w:sz w:val="25"/>
          <w:lang w:val="de-DE"/>
        </w:rPr>
        <w:tab/>
        <w:t>im Falle von vorsätzlicher oder grob fahrlässiger Pflichtverletzung durch ihn selbst, seinen gesetzlichen Vertreter oder seinen Erfüllungsgehilfen, bei Verletzung des Lebens, des Körpers oder der Gesundheit auch im Falle von fahrlässiger Pflichtverletzung;</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b.</w:t>
      </w:r>
      <w:r w:rsidRPr="00AF62C5">
        <w:rPr>
          <w:rFonts w:ascii="Bahnschrift" w:hAnsi="Bahnschrift"/>
          <w:color w:val="3B77B0"/>
          <w:w w:val="90"/>
          <w:sz w:val="25"/>
          <w:lang w:val="de-DE"/>
        </w:rPr>
        <w:tab/>
        <w:t>bei Vorliegen von Mängeln, die der Auftragnehmer arglistig verschwiegen hat;</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c.</w:t>
      </w:r>
      <w:r w:rsidRPr="00AF62C5">
        <w:rPr>
          <w:rFonts w:ascii="Bahnschrift" w:hAnsi="Bahnschrift"/>
          <w:color w:val="3B77B0"/>
          <w:w w:val="90"/>
          <w:sz w:val="25"/>
          <w:lang w:val="de-DE"/>
        </w:rPr>
        <w:tab/>
        <w:t>im Falle der Übernahme einer Garantie für die Beschaffenheit des Werkes;</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d.</w:t>
      </w:r>
      <w:r w:rsidRPr="00AF62C5">
        <w:rPr>
          <w:rFonts w:ascii="Bahnschrift" w:hAnsi="Bahnschrift"/>
          <w:color w:val="3B77B0"/>
          <w:w w:val="90"/>
          <w:sz w:val="25"/>
          <w:lang w:val="de-DE"/>
        </w:rPr>
        <w:tab/>
        <w:t>im Falle der Haftung nach dem Produkthaftungsgesetz;</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e.</w:t>
      </w:r>
      <w:r w:rsidRPr="00AF62C5">
        <w:rPr>
          <w:rFonts w:ascii="Bahnschrift" w:hAnsi="Bahnschrift"/>
          <w:color w:val="3B77B0"/>
          <w:w w:val="90"/>
          <w:sz w:val="25"/>
          <w:lang w:val="de-DE"/>
        </w:rPr>
        <w:tab/>
        <w:t>für Schäden aus der nicht unerheblichen Verletzung wesentlicher Vertragspflichten; im Falle einfacher Fahrlässigkeit ist der Schadensersatz des Auftraggebers jedoch auf den Ersatz des vorhersehbaren, typischerweise eintretenden Schadens begrenzt, soweit nicht wegen Verletzung des Lebens, des Körpers oder der Gesundheit gehaftet wird.</w:t>
      </w:r>
    </w:p>
    <w:p w:rsidR="000632A5" w:rsidRPr="00AF62C5" w:rsidRDefault="000632A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VII.</w:t>
      </w:r>
      <w:r w:rsidRPr="00AF62C5">
        <w:rPr>
          <w:rFonts w:ascii="Bahnschrift" w:hAnsi="Bahnschrift"/>
          <w:color w:val="3B77B0"/>
          <w:w w:val="90"/>
          <w:sz w:val="25"/>
          <w:lang w:val="de-DE"/>
        </w:rPr>
        <w:tab/>
        <w:t>Mängelrechte - Verjährung</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1.</w:t>
      </w:r>
      <w:r w:rsidRPr="00AF62C5">
        <w:rPr>
          <w:rFonts w:ascii="Bahnschrift" w:hAnsi="Bahnschrift"/>
          <w:color w:val="3B77B0"/>
          <w:w w:val="90"/>
          <w:sz w:val="25"/>
          <w:lang w:val="de-DE"/>
        </w:rPr>
        <w:tab/>
        <w:t>Soweit der Hersteller in seinen Produktunterlagen oder in seiner Werbung Aussagen zu einer besonderen Leistung, Beschaffenheit oder Haltbarkeit seines Produktes macht (z.B. 10-jährige Haltbarkeitsgarantie), werden diese Herstelleraussagen nicht zu einer vereinbarten Beschaffenheit des Werkvertrages.</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2.</w:t>
      </w:r>
      <w:r w:rsidRPr="00AF62C5">
        <w:rPr>
          <w:rFonts w:ascii="Bahnschrift" w:hAnsi="Bahnschrift"/>
          <w:color w:val="3B77B0"/>
          <w:w w:val="90"/>
          <w:sz w:val="25"/>
          <w:lang w:val="de-DE"/>
        </w:rPr>
        <w:tab/>
        <w:t>Die Mängelansprüche des Verbrauchers verjähren gemäß § 634a Abs. l Nr.2 BGB in fünf Jahren ab Abnahme bei Arbeiten an einem Bauwerk,</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a.</w:t>
      </w:r>
      <w:r w:rsidRPr="00AF62C5">
        <w:rPr>
          <w:rFonts w:ascii="Bahnschrift" w:hAnsi="Bahnschrift"/>
          <w:color w:val="3B77B0"/>
          <w:w w:val="90"/>
          <w:sz w:val="25"/>
          <w:lang w:val="de-DE"/>
        </w:rPr>
        <w:tab/>
        <w:t>Im Falle der Neuherstellung oder Erweiterung der Gebäudesubstanz (Auf-, Anbauarbeiten)</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b.</w:t>
      </w:r>
      <w:r w:rsidRPr="00AF62C5">
        <w:rPr>
          <w:rFonts w:ascii="Bahnschrift" w:hAnsi="Bahnschrift"/>
          <w:color w:val="3B77B0"/>
          <w:w w:val="90"/>
          <w:sz w:val="25"/>
          <w:lang w:val="de-DE"/>
        </w:rPr>
        <w:tab/>
        <w:t>oder in Fällen der Einbau-, Umbau-, Erneuerungs- oder Reparaturarbeiten an einem bereits errichteten Bauwerk, wenn die Arbeiten bei Neuerrichtung des Gebäudes zu den Bau­ werksarbeiten zählen würden, nach Art und Umfang für Konstruktion, Bestand, Erhaltung oder Benutzbarkeit des Gebäudes von wesentlicher Bedeutung sind und die eingebauten Teile mit dem Gebäude fest verbunden werden.</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3.</w:t>
      </w:r>
      <w:r w:rsidRPr="00AF62C5">
        <w:rPr>
          <w:rFonts w:ascii="Bahnschrift" w:hAnsi="Bahnschrift"/>
          <w:color w:val="3B77B0"/>
          <w:w w:val="90"/>
          <w:sz w:val="25"/>
          <w:lang w:val="de-DE"/>
        </w:rPr>
        <w:tab/>
        <w:t>Abweichend von § 634a Abs. 1 Nr. 1 BGB verjähren die Mängelansprüche des Verbrauchers in einem Jahr ab Abnahme bei Reparatur-, Ausbesserungs-, Instandhaltungs-, Einbau-, Er­ neuerungs- oder Umbauarbeiten an einem bereits errichteten Bauwerk, wenn die Arbeiten nach Art und Umfang keine wesentliche Bedeutung für Konstruktion, Bestand, Erhaltung oder Benutzbarkeit des Gebäudes haben.</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4.</w:t>
      </w:r>
      <w:r w:rsidRPr="00AF62C5">
        <w:rPr>
          <w:rFonts w:ascii="Bahnschrift" w:hAnsi="Bahnschrift"/>
          <w:color w:val="3B77B0"/>
          <w:w w:val="90"/>
          <w:sz w:val="25"/>
          <w:lang w:val="de-DE"/>
        </w:rPr>
        <w:tab/>
        <w:t>Die vorstehenden Verjährungsfristen gelten auch für vertragliche und außervertragliche Schadensersatzansprüche des Ve</w:t>
      </w:r>
      <w:r>
        <w:rPr>
          <w:rFonts w:ascii="Bahnschrift" w:hAnsi="Bahnschrift"/>
          <w:color w:val="3B77B0"/>
          <w:w w:val="90"/>
          <w:sz w:val="25"/>
          <w:lang w:val="de-DE"/>
        </w:rPr>
        <w:t>r</w:t>
      </w:r>
      <w:r w:rsidRPr="00AF62C5">
        <w:rPr>
          <w:rFonts w:ascii="Bahnschrift" w:hAnsi="Bahnschrift"/>
          <w:color w:val="3B77B0"/>
          <w:w w:val="90"/>
          <w:sz w:val="25"/>
          <w:lang w:val="de-DE"/>
        </w:rPr>
        <w:t>brauchers, die auf einem Mangel der Ware beruhen, es sei denn die Anwendung der regelmäßigen gesetzlichen Verjährung würde im Einzelfall zu einer kürzeren Verjährung führen. Schadensersatzansprüche des Käufers gern. VI. a. bis d. verjähren jedoch ausschließlich nach den gesetzlichen Verjä</w:t>
      </w:r>
      <w:r>
        <w:rPr>
          <w:rFonts w:ascii="Bahnschrift" w:hAnsi="Bahnschrift"/>
          <w:color w:val="3B77B0"/>
          <w:w w:val="90"/>
          <w:sz w:val="25"/>
          <w:lang w:val="de-DE"/>
        </w:rPr>
        <w:t>h</w:t>
      </w:r>
      <w:r w:rsidRPr="00AF62C5">
        <w:rPr>
          <w:rFonts w:ascii="Bahnschrift" w:hAnsi="Bahnschrift"/>
          <w:color w:val="3B77B0"/>
          <w:w w:val="90"/>
          <w:sz w:val="25"/>
          <w:lang w:val="de-DE"/>
        </w:rPr>
        <w:t>rungsfristen.</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5.</w:t>
      </w:r>
      <w:r w:rsidRPr="00AF62C5">
        <w:rPr>
          <w:rFonts w:ascii="Bahnschrift" w:hAnsi="Bahnschrift"/>
          <w:color w:val="3B77B0"/>
          <w:w w:val="90"/>
          <w:sz w:val="25"/>
          <w:lang w:val="de-DE"/>
        </w:rPr>
        <w:tab/>
        <w:t>Von der Mängelbeseitigungspflicht sind Mängel ausgeschlossen, die nach Abnahme durch schuldhaft fehlerhafte Bedienung oder gewaltsame Einwirkung des Verbrauchers oder Dritter oder durch normale/n bestimmungsgemäße/n Abnutzung/Verschleiß (z. 8. bei Dichtungen) entstanden sind.</w:t>
      </w:r>
    </w:p>
    <w:p w:rsidR="000632A5" w:rsidRDefault="000632A5" w:rsidP="00AF62C5">
      <w:pPr>
        <w:spacing w:before="18" w:line="264" w:lineRule="auto"/>
        <w:ind w:left="810" w:right="11" w:firstLine="15"/>
        <w:rPr>
          <w:rFonts w:ascii="Bahnschrift" w:hAnsi="Bahnschrift"/>
          <w:color w:val="3B77B0"/>
          <w:w w:val="90"/>
          <w:sz w:val="25"/>
          <w:lang w:val="de-DE"/>
        </w:rPr>
      </w:pPr>
    </w:p>
    <w:p w:rsidR="000632A5" w:rsidRDefault="000632A5" w:rsidP="00AF62C5">
      <w:pPr>
        <w:spacing w:before="18" w:line="264" w:lineRule="auto"/>
        <w:ind w:left="810" w:right="11" w:firstLine="15"/>
        <w:rPr>
          <w:rFonts w:ascii="Bahnschrift" w:hAnsi="Bahnschrift"/>
          <w:color w:val="3B77B0"/>
          <w:w w:val="90"/>
          <w:sz w:val="25"/>
          <w:lang w:val="de-DE"/>
        </w:rPr>
      </w:pPr>
    </w:p>
    <w:p w:rsidR="000632A5" w:rsidRDefault="000632A5" w:rsidP="00AF62C5">
      <w:pPr>
        <w:spacing w:before="18" w:line="264" w:lineRule="auto"/>
        <w:ind w:left="810" w:right="11" w:firstLine="15"/>
        <w:rPr>
          <w:rFonts w:ascii="Bahnschrift" w:hAnsi="Bahnschrift"/>
          <w:color w:val="3B77B0"/>
          <w:w w:val="90"/>
          <w:sz w:val="25"/>
          <w:lang w:val="de-DE"/>
        </w:rPr>
      </w:pPr>
    </w:p>
    <w:p w:rsidR="000632A5" w:rsidRDefault="000632A5" w:rsidP="00AF62C5">
      <w:pPr>
        <w:spacing w:before="18" w:line="264" w:lineRule="auto"/>
        <w:ind w:left="810" w:right="11" w:firstLine="15"/>
        <w:rPr>
          <w:rFonts w:ascii="Bahnschrift" w:hAnsi="Bahnschrift"/>
          <w:color w:val="3B77B0"/>
          <w:w w:val="90"/>
          <w:sz w:val="25"/>
          <w:lang w:val="de-DE"/>
        </w:rPr>
      </w:pPr>
    </w:p>
    <w:p w:rsidR="000632A5" w:rsidRDefault="000632A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6.</w:t>
      </w:r>
      <w:r w:rsidRPr="00AF62C5">
        <w:rPr>
          <w:rFonts w:ascii="Bahnschrift" w:hAnsi="Bahnschrift"/>
          <w:color w:val="3B77B0"/>
          <w:w w:val="90"/>
          <w:sz w:val="25"/>
          <w:lang w:val="de-DE"/>
        </w:rPr>
        <w:tab/>
        <w:t>Kommt der Unternehmer einer Aufforderung des Verbrauchers zur Mängelbeseitigung nach und</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a.</w:t>
      </w:r>
      <w:r w:rsidRPr="00AF62C5">
        <w:rPr>
          <w:rFonts w:ascii="Bahnschrift" w:hAnsi="Bahnschrift"/>
          <w:color w:val="3B77B0"/>
          <w:w w:val="90"/>
          <w:sz w:val="25"/>
          <w:lang w:val="de-DE"/>
        </w:rPr>
        <w:tab/>
        <w:t>gewährt der Verbraucher den Zugang zum Objekt zum vereinbarten Zeitpunkt schuldhaft nicht oder</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b.</w:t>
      </w:r>
      <w:r w:rsidRPr="00AF62C5">
        <w:rPr>
          <w:rFonts w:ascii="Bahnschrift" w:hAnsi="Bahnschrift"/>
          <w:color w:val="3B77B0"/>
          <w:w w:val="90"/>
          <w:sz w:val="25"/>
          <w:lang w:val="de-DE"/>
        </w:rPr>
        <w:tab/>
        <w:t>liegt ein Mangel am Werk objektiv nicht vor und hat der Verbraucher diesbezüglich schuldhaft gehandelt,</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hat der Verbraucher die Aufwendungen des Unternehmers zu ersetzen. Mangels Vereinbarung einer Vergütung gelten die ortsüblichen Sätze.</w:t>
      </w:r>
    </w:p>
    <w:p w:rsidR="000632A5" w:rsidRPr="00AF62C5" w:rsidRDefault="000632A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VII.</w:t>
      </w:r>
      <w:r w:rsidRPr="00AF62C5">
        <w:rPr>
          <w:rFonts w:ascii="Bahnschrift" w:hAnsi="Bahnschrift"/>
          <w:color w:val="3B77B0"/>
          <w:w w:val="90"/>
          <w:sz w:val="25"/>
          <w:lang w:val="de-DE"/>
        </w:rPr>
        <w:tab/>
        <w:t>Versuchte Instandsetzung</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Wird der Unternehmer mit der Instandsetzung eines bestehenden Objektes beauftragt (Reparaturauftrag) und kann das Objekt nicht instandgesetzt werden, weil</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a.</w:t>
      </w:r>
      <w:r w:rsidRPr="00AF62C5">
        <w:rPr>
          <w:rFonts w:ascii="Bahnschrift" w:hAnsi="Bahnschrift"/>
          <w:color w:val="3B77B0"/>
          <w:w w:val="90"/>
          <w:sz w:val="25"/>
          <w:lang w:val="de-DE"/>
        </w:rPr>
        <w:tab/>
        <w:t>der Verbraucher den Zugang zum Objekt zum vereinbarten Zeitpunkt schuldhaft nicht gewährt oder</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b.</w:t>
      </w:r>
      <w:r w:rsidRPr="00AF62C5">
        <w:rPr>
          <w:rFonts w:ascii="Bahnschrift" w:hAnsi="Bahnschrift"/>
          <w:color w:val="3B77B0"/>
          <w:w w:val="90"/>
          <w:sz w:val="25"/>
          <w:lang w:val="de-DE"/>
        </w:rPr>
        <w:tab/>
        <w:t>der Fehler/Mangel trotz Einhaltung der allgemein anerkannten Regeln der Technik nicht gefunden oder nach Rücksprache mit dem Verbrauche r nicht wirtschaftlich sinnvoll beseitigt werden kann,</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ist der Verbraucher verpflichtet, die entstandenen Aufwendungen des Unternehmers zu ersetzen, sofern nicht die Undurchführbarkeit der Reparatur in den Verantwortungs- oder Risikobereich des Unternehmers fällt.</w:t>
      </w:r>
    </w:p>
    <w:p w:rsidR="000632A5" w:rsidRPr="00AF62C5" w:rsidRDefault="000632A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VI</w:t>
      </w:r>
      <w:r w:rsidR="000632A5">
        <w:rPr>
          <w:rFonts w:ascii="Bahnschrift" w:hAnsi="Bahnschrift"/>
          <w:color w:val="3B77B0"/>
          <w:w w:val="90"/>
          <w:sz w:val="25"/>
          <w:lang w:val="de-DE"/>
        </w:rPr>
        <w:t>II</w:t>
      </w:r>
      <w:r w:rsidRPr="00AF62C5">
        <w:rPr>
          <w:rFonts w:ascii="Bahnschrift" w:hAnsi="Bahnschrift"/>
          <w:color w:val="3B77B0"/>
          <w:w w:val="90"/>
          <w:sz w:val="25"/>
          <w:lang w:val="de-DE"/>
        </w:rPr>
        <w:t>. Eigentumsvorbehalt</w:t>
      </w:r>
    </w:p>
    <w:p w:rsid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Soweit kein Eigentumsverlust gemäß §§ 946 ff. BGB vorliegt, behält sich der Unternehmer das Eigentum und das Verfügungsrecht an den Liefergegenständen bis zum Eingang sämtlicher Zahlungen aus dem Vertrag vor.</w:t>
      </w:r>
    </w:p>
    <w:p w:rsidR="000632A5" w:rsidRPr="00AF62C5" w:rsidRDefault="000632A5" w:rsidP="00AF62C5">
      <w:pPr>
        <w:spacing w:before="18" w:line="264" w:lineRule="auto"/>
        <w:ind w:left="810" w:right="11" w:firstLine="15"/>
        <w:rPr>
          <w:rFonts w:ascii="Bahnschrift" w:hAnsi="Bahnschrift"/>
          <w:color w:val="3B77B0"/>
          <w:w w:val="90"/>
          <w:sz w:val="25"/>
          <w:lang w:val="de-DE"/>
        </w:rPr>
      </w:pP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IX.  Alternative Streitbeilegung</w:t>
      </w:r>
    </w:p>
    <w:p w:rsidR="00AF62C5" w:rsidRPr="00AF62C5" w:rsidRDefault="00AF62C5" w:rsidP="00AF62C5">
      <w:pPr>
        <w:spacing w:before="18" w:line="264" w:lineRule="auto"/>
        <w:ind w:left="810" w:right="11" w:firstLine="15"/>
        <w:rPr>
          <w:rFonts w:ascii="Bahnschrift" w:hAnsi="Bahnschrift"/>
          <w:color w:val="3B77B0"/>
          <w:w w:val="90"/>
          <w:sz w:val="25"/>
          <w:lang w:val="de-DE"/>
        </w:rPr>
      </w:pPr>
      <w:r w:rsidRPr="00AF62C5">
        <w:rPr>
          <w:rFonts w:ascii="Bahnschrift" w:hAnsi="Bahnschrift"/>
          <w:color w:val="3B77B0"/>
          <w:w w:val="90"/>
          <w:sz w:val="25"/>
          <w:lang w:val="de-DE"/>
        </w:rPr>
        <w:t>Der Unternehmer ist weder bereit noch verpflichtet, an Streitbeilegungsverfahren vor einer Verbraucherschlichtungsstelle teilzunehmen.</w:t>
      </w:r>
    </w:p>
    <w:p w:rsidR="00AF62C5" w:rsidRPr="00AF62C5" w:rsidRDefault="00AF62C5" w:rsidP="00AF62C5">
      <w:pPr>
        <w:spacing w:before="18" w:line="264" w:lineRule="auto"/>
        <w:ind w:left="810" w:right="4403" w:firstLine="15"/>
        <w:rPr>
          <w:rFonts w:ascii="Bahnschrift" w:hAnsi="Bahnschrift"/>
          <w:color w:val="3B77B0"/>
          <w:w w:val="90"/>
          <w:sz w:val="25"/>
          <w:lang w:val="de-DE"/>
        </w:rPr>
      </w:pPr>
    </w:p>
    <w:p w:rsidR="00AF62C5" w:rsidRDefault="00AF62C5" w:rsidP="00AF62C5">
      <w:pPr>
        <w:spacing w:before="18" w:line="264" w:lineRule="auto"/>
        <w:ind w:left="810" w:right="4403" w:firstLine="15"/>
        <w:rPr>
          <w:rFonts w:ascii="Bahnschrift" w:hAnsi="Bahnschrift"/>
          <w:b/>
          <w:color w:val="3B77B0"/>
          <w:w w:val="90"/>
          <w:sz w:val="25"/>
          <w:lang w:val="de-DE"/>
        </w:rPr>
      </w:pPr>
      <w:bookmarkStart w:id="0" w:name="_GoBack"/>
      <w:bookmarkEnd w:id="0"/>
    </w:p>
    <w:sectPr w:rsidR="00AF62C5" w:rsidSect="00AF62C5">
      <w:headerReference w:type="default" r:id="rId8"/>
      <w:pgSz w:w="11910" w:h="16840"/>
      <w:pgMar w:top="340" w:right="660" w:bottom="0" w:left="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5A3" w:rsidRDefault="005A75A3" w:rsidP="00AF62C5">
      <w:r>
        <w:separator/>
      </w:r>
    </w:p>
  </w:endnote>
  <w:endnote w:type="continuationSeparator" w:id="0">
    <w:p w:rsidR="005A75A3" w:rsidRDefault="005A75A3" w:rsidP="00A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5A3" w:rsidRDefault="005A75A3" w:rsidP="00AF62C5">
      <w:r>
        <w:separator/>
      </w:r>
    </w:p>
  </w:footnote>
  <w:footnote w:type="continuationSeparator" w:id="0">
    <w:p w:rsidR="005A75A3" w:rsidRDefault="005A75A3" w:rsidP="00AF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2C5" w:rsidRDefault="00AF62C5">
    <w:pPr>
      <w:pStyle w:val="Kopfzeile"/>
    </w:pPr>
    <w:r>
      <w:rPr>
        <w:noProof/>
      </w:rPr>
      <w:drawing>
        <wp:inline distT="0" distB="0" distL="0" distR="0">
          <wp:extent cx="2348067" cy="9048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 Groß.jpg"/>
                  <pic:cNvPicPr/>
                </pic:nvPicPr>
                <pic:blipFill>
                  <a:blip r:embed="rId1">
                    <a:extLst>
                      <a:ext uri="{28A0092B-C50C-407E-A947-70E740481C1C}">
                        <a14:useLocalDpi xmlns:a14="http://schemas.microsoft.com/office/drawing/2010/main" val="0"/>
                      </a:ext>
                    </a:extLst>
                  </a:blip>
                  <a:stretch>
                    <a:fillRect/>
                  </a:stretch>
                </pic:blipFill>
                <pic:spPr>
                  <a:xfrm>
                    <a:off x="0" y="0"/>
                    <a:ext cx="2357375" cy="908462"/>
                  </a:xfrm>
                  <a:prstGeom prst="rect">
                    <a:avLst/>
                  </a:prstGeom>
                </pic:spPr>
              </pic:pic>
            </a:graphicData>
          </a:graphic>
        </wp:inline>
      </w:drawing>
    </w:r>
  </w:p>
  <w:p w:rsidR="00AF62C5" w:rsidRDefault="00AF62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3469A"/>
    <w:multiLevelType w:val="hybridMultilevel"/>
    <w:tmpl w:val="6AD02D12"/>
    <w:lvl w:ilvl="0" w:tplc="8BCED67A">
      <w:start w:val="1"/>
      <w:numFmt w:val="lowerLetter"/>
      <w:lvlText w:val="%1."/>
      <w:lvlJc w:val="left"/>
      <w:pPr>
        <w:ind w:left="986" w:hanging="292"/>
        <w:jc w:val="left"/>
      </w:pPr>
      <w:rPr>
        <w:rFonts w:hint="default"/>
        <w:spacing w:val="-1"/>
        <w:w w:val="102"/>
      </w:rPr>
    </w:lvl>
    <w:lvl w:ilvl="1" w:tplc="C21669B4">
      <w:numFmt w:val="bullet"/>
      <w:lvlText w:val="•"/>
      <w:lvlJc w:val="left"/>
      <w:pPr>
        <w:ind w:left="1445" w:hanging="292"/>
      </w:pPr>
      <w:rPr>
        <w:rFonts w:hint="default"/>
      </w:rPr>
    </w:lvl>
    <w:lvl w:ilvl="2" w:tplc="BB8ED2B8">
      <w:numFmt w:val="bullet"/>
      <w:lvlText w:val="•"/>
      <w:lvlJc w:val="left"/>
      <w:pPr>
        <w:ind w:left="1911" w:hanging="292"/>
      </w:pPr>
      <w:rPr>
        <w:rFonts w:hint="default"/>
      </w:rPr>
    </w:lvl>
    <w:lvl w:ilvl="3" w:tplc="7B74A822">
      <w:numFmt w:val="bullet"/>
      <w:lvlText w:val="•"/>
      <w:lvlJc w:val="left"/>
      <w:pPr>
        <w:ind w:left="2377" w:hanging="292"/>
      </w:pPr>
      <w:rPr>
        <w:rFonts w:hint="default"/>
      </w:rPr>
    </w:lvl>
    <w:lvl w:ilvl="4" w:tplc="9CF04B14">
      <w:numFmt w:val="bullet"/>
      <w:lvlText w:val="•"/>
      <w:lvlJc w:val="left"/>
      <w:pPr>
        <w:ind w:left="2842" w:hanging="292"/>
      </w:pPr>
      <w:rPr>
        <w:rFonts w:hint="default"/>
      </w:rPr>
    </w:lvl>
    <w:lvl w:ilvl="5" w:tplc="C0F4C1AC">
      <w:numFmt w:val="bullet"/>
      <w:lvlText w:val="•"/>
      <w:lvlJc w:val="left"/>
      <w:pPr>
        <w:ind w:left="3308" w:hanging="292"/>
      </w:pPr>
      <w:rPr>
        <w:rFonts w:hint="default"/>
      </w:rPr>
    </w:lvl>
    <w:lvl w:ilvl="6" w:tplc="64C65B86">
      <w:numFmt w:val="bullet"/>
      <w:lvlText w:val="•"/>
      <w:lvlJc w:val="left"/>
      <w:pPr>
        <w:ind w:left="3774" w:hanging="292"/>
      </w:pPr>
      <w:rPr>
        <w:rFonts w:hint="default"/>
      </w:rPr>
    </w:lvl>
    <w:lvl w:ilvl="7" w:tplc="B330BF16">
      <w:numFmt w:val="bullet"/>
      <w:lvlText w:val="•"/>
      <w:lvlJc w:val="left"/>
      <w:pPr>
        <w:ind w:left="4240" w:hanging="292"/>
      </w:pPr>
      <w:rPr>
        <w:rFonts w:hint="default"/>
      </w:rPr>
    </w:lvl>
    <w:lvl w:ilvl="8" w:tplc="628E669C">
      <w:numFmt w:val="bullet"/>
      <w:lvlText w:val="•"/>
      <w:lvlJc w:val="left"/>
      <w:pPr>
        <w:ind w:left="4705" w:hanging="292"/>
      </w:pPr>
      <w:rPr>
        <w:rFonts w:hint="default"/>
      </w:rPr>
    </w:lvl>
  </w:abstractNum>
  <w:abstractNum w:abstractNumId="1" w15:restartNumberingAfterBreak="0">
    <w:nsid w:val="259D233D"/>
    <w:multiLevelType w:val="hybridMultilevel"/>
    <w:tmpl w:val="47367526"/>
    <w:lvl w:ilvl="0" w:tplc="8EA6F08A">
      <w:start w:val="7"/>
      <w:numFmt w:val="upperRoman"/>
      <w:lvlText w:val="%1."/>
      <w:lvlJc w:val="left"/>
      <w:pPr>
        <w:ind w:left="472" w:hanging="318"/>
        <w:jc w:val="left"/>
      </w:pPr>
      <w:rPr>
        <w:rFonts w:ascii="Arial" w:eastAsia="Arial" w:hAnsi="Arial" w:cs="Arial" w:hint="default"/>
        <w:b/>
        <w:bCs/>
        <w:color w:val="424242"/>
        <w:spacing w:val="-1"/>
        <w:w w:val="108"/>
        <w:sz w:val="16"/>
        <w:szCs w:val="16"/>
      </w:rPr>
    </w:lvl>
    <w:lvl w:ilvl="1" w:tplc="77B60B36">
      <w:start w:val="1"/>
      <w:numFmt w:val="lowerLetter"/>
      <w:lvlText w:val="%2."/>
      <w:lvlJc w:val="left"/>
      <w:pPr>
        <w:ind w:left="433" w:hanging="225"/>
        <w:jc w:val="left"/>
      </w:pPr>
      <w:rPr>
        <w:rFonts w:ascii="Arial" w:eastAsia="Arial" w:hAnsi="Arial" w:cs="Arial" w:hint="default"/>
        <w:color w:val="424242"/>
        <w:spacing w:val="-1"/>
        <w:w w:val="102"/>
        <w:sz w:val="16"/>
        <w:szCs w:val="16"/>
      </w:rPr>
    </w:lvl>
    <w:lvl w:ilvl="2" w:tplc="8FDEA1A8">
      <w:numFmt w:val="bullet"/>
      <w:lvlText w:val="•"/>
      <w:lvlJc w:val="left"/>
      <w:pPr>
        <w:ind w:left="1004" w:hanging="225"/>
      </w:pPr>
      <w:rPr>
        <w:rFonts w:hint="default"/>
      </w:rPr>
    </w:lvl>
    <w:lvl w:ilvl="3" w:tplc="2470645E">
      <w:numFmt w:val="bullet"/>
      <w:lvlText w:val="•"/>
      <w:lvlJc w:val="left"/>
      <w:pPr>
        <w:ind w:left="1529" w:hanging="225"/>
      </w:pPr>
      <w:rPr>
        <w:rFonts w:hint="default"/>
      </w:rPr>
    </w:lvl>
    <w:lvl w:ilvl="4" w:tplc="C8921480">
      <w:numFmt w:val="bullet"/>
      <w:lvlText w:val="•"/>
      <w:lvlJc w:val="left"/>
      <w:pPr>
        <w:ind w:left="2054" w:hanging="225"/>
      </w:pPr>
      <w:rPr>
        <w:rFonts w:hint="default"/>
      </w:rPr>
    </w:lvl>
    <w:lvl w:ilvl="5" w:tplc="DEBEAEE2">
      <w:numFmt w:val="bullet"/>
      <w:lvlText w:val="•"/>
      <w:lvlJc w:val="left"/>
      <w:pPr>
        <w:ind w:left="2579" w:hanging="225"/>
      </w:pPr>
      <w:rPr>
        <w:rFonts w:hint="default"/>
      </w:rPr>
    </w:lvl>
    <w:lvl w:ilvl="6" w:tplc="9C5E6F82">
      <w:numFmt w:val="bullet"/>
      <w:lvlText w:val="•"/>
      <w:lvlJc w:val="left"/>
      <w:pPr>
        <w:ind w:left="3104" w:hanging="225"/>
      </w:pPr>
      <w:rPr>
        <w:rFonts w:hint="default"/>
      </w:rPr>
    </w:lvl>
    <w:lvl w:ilvl="7" w:tplc="4866D81A">
      <w:numFmt w:val="bullet"/>
      <w:lvlText w:val="•"/>
      <w:lvlJc w:val="left"/>
      <w:pPr>
        <w:ind w:left="3629" w:hanging="225"/>
      </w:pPr>
      <w:rPr>
        <w:rFonts w:hint="default"/>
      </w:rPr>
    </w:lvl>
    <w:lvl w:ilvl="8" w:tplc="D9B46824">
      <w:numFmt w:val="bullet"/>
      <w:lvlText w:val="•"/>
      <w:lvlJc w:val="left"/>
      <w:pPr>
        <w:ind w:left="4154" w:hanging="225"/>
      </w:pPr>
      <w:rPr>
        <w:rFonts w:hint="default"/>
      </w:rPr>
    </w:lvl>
  </w:abstractNum>
  <w:abstractNum w:abstractNumId="2" w15:restartNumberingAfterBreak="0">
    <w:nsid w:val="4BCF76C5"/>
    <w:multiLevelType w:val="hybridMultilevel"/>
    <w:tmpl w:val="6A7A651C"/>
    <w:lvl w:ilvl="0" w:tplc="7998311A">
      <w:start w:val="1"/>
      <w:numFmt w:val="decimal"/>
      <w:lvlText w:val="%1."/>
      <w:lvlJc w:val="left"/>
      <w:pPr>
        <w:ind w:left="900" w:hanging="231"/>
        <w:jc w:val="right"/>
      </w:pPr>
      <w:rPr>
        <w:rFonts w:hint="default"/>
        <w:w w:val="93"/>
      </w:rPr>
    </w:lvl>
    <w:lvl w:ilvl="1" w:tplc="3782D1C6">
      <w:start w:val="1"/>
      <w:numFmt w:val="lowerLetter"/>
      <w:lvlText w:val="%2."/>
      <w:lvlJc w:val="left"/>
      <w:pPr>
        <w:ind w:left="640" w:hanging="219"/>
        <w:jc w:val="left"/>
      </w:pPr>
      <w:rPr>
        <w:rFonts w:ascii="Arial" w:eastAsia="Arial" w:hAnsi="Arial" w:cs="Arial" w:hint="default"/>
        <w:color w:val="424242"/>
        <w:spacing w:val="-1"/>
        <w:w w:val="106"/>
        <w:sz w:val="16"/>
        <w:szCs w:val="16"/>
      </w:rPr>
    </w:lvl>
    <w:lvl w:ilvl="2" w:tplc="42EE18B6">
      <w:numFmt w:val="bullet"/>
      <w:lvlText w:val="•"/>
      <w:lvlJc w:val="left"/>
      <w:pPr>
        <w:ind w:left="900" w:hanging="219"/>
      </w:pPr>
      <w:rPr>
        <w:rFonts w:hint="default"/>
      </w:rPr>
    </w:lvl>
    <w:lvl w:ilvl="3" w:tplc="438019AE">
      <w:numFmt w:val="bullet"/>
      <w:lvlText w:val="•"/>
      <w:lvlJc w:val="left"/>
      <w:pPr>
        <w:ind w:left="742" w:hanging="219"/>
      </w:pPr>
      <w:rPr>
        <w:rFonts w:hint="default"/>
      </w:rPr>
    </w:lvl>
    <w:lvl w:ilvl="4" w:tplc="773804C6">
      <w:numFmt w:val="bullet"/>
      <w:lvlText w:val="•"/>
      <w:lvlJc w:val="left"/>
      <w:pPr>
        <w:ind w:left="584" w:hanging="219"/>
      </w:pPr>
      <w:rPr>
        <w:rFonts w:hint="default"/>
      </w:rPr>
    </w:lvl>
    <w:lvl w:ilvl="5" w:tplc="8BBC33E0">
      <w:numFmt w:val="bullet"/>
      <w:lvlText w:val="•"/>
      <w:lvlJc w:val="left"/>
      <w:pPr>
        <w:ind w:left="427" w:hanging="219"/>
      </w:pPr>
      <w:rPr>
        <w:rFonts w:hint="default"/>
      </w:rPr>
    </w:lvl>
    <w:lvl w:ilvl="6" w:tplc="7FA08DE0">
      <w:numFmt w:val="bullet"/>
      <w:lvlText w:val="•"/>
      <w:lvlJc w:val="left"/>
      <w:pPr>
        <w:ind w:left="269" w:hanging="219"/>
      </w:pPr>
      <w:rPr>
        <w:rFonts w:hint="default"/>
      </w:rPr>
    </w:lvl>
    <w:lvl w:ilvl="7" w:tplc="3E6295C4">
      <w:numFmt w:val="bullet"/>
      <w:lvlText w:val="•"/>
      <w:lvlJc w:val="left"/>
      <w:pPr>
        <w:ind w:left="112" w:hanging="219"/>
      </w:pPr>
      <w:rPr>
        <w:rFonts w:hint="default"/>
      </w:rPr>
    </w:lvl>
    <w:lvl w:ilvl="8" w:tplc="2026B5C8">
      <w:numFmt w:val="bullet"/>
      <w:lvlText w:val="•"/>
      <w:lvlJc w:val="left"/>
      <w:pPr>
        <w:ind w:left="-46" w:hanging="219"/>
      </w:pPr>
      <w:rPr>
        <w:rFonts w:hint="default"/>
      </w:rPr>
    </w:lvl>
  </w:abstractNum>
  <w:abstractNum w:abstractNumId="3" w15:restartNumberingAfterBreak="0">
    <w:nsid w:val="5C0737B4"/>
    <w:multiLevelType w:val="hybridMultilevel"/>
    <w:tmpl w:val="50428268"/>
    <w:lvl w:ilvl="0" w:tplc="3C62EDD2">
      <w:start w:val="4"/>
      <w:numFmt w:val="upperRoman"/>
      <w:lvlText w:val="%1."/>
      <w:lvlJc w:val="left"/>
      <w:pPr>
        <w:ind w:left="1012" w:hanging="255"/>
        <w:jc w:val="right"/>
      </w:pPr>
      <w:rPr>
        <w:rFonts w:ascii="Arial" w:eastAsia="Arial" w:hAnsi="Arial" w:cs="Arial" w:hint="default"/>
        <w:b/>
        <w:bCs/>
        <w:color w:val="424242"/>
        <w:spacing w:val="-1"/>
        <w:w w:val="102"/>
        <w:sz w:val="16"/>
        <w:szCs w:val="16"/>
      </w:rPr>
    </w:lvl>
    <w:lvl w:ilvl="1" w:tplc="54B40BB6">
      <w:start w:val="1"/>
      <w:numFmt w:val="decimal"/>
      <w:lvlText w:val="%2."/>
      <w:lvlJc w:val="left"/>
      <w:pPr>
        <w:ind w:left="1022" w:hanging="284"/>
        <w:jc w:val="left"/>
      </w:pPr>
      <w:rPr>
        <w:rFonts w:hint="default"/>
        <w:w w:val="93"/>
      </w:rPr>
    </w:lvl>
    <w:lvl w:ilvl="2" w:tplc="B0EAA78E">
      <w:numFmt w:val="bullet"/>
      <w:lvlText w:val="•"/>
      <w:lvlJc w:val="left"/>
      <w:pPr>
        <w:ind w:left="1943" w:hanging="284"/>
      </w:pPr>
      <w:rPr>
        <w:rFonts w:hint="default"/>
      </w:rPr>
    </w:lvl>
    <w:lvl w:ilvl="3" w:tplc="70FE1BA2">
      <w:numFmt w:val="bullet"/>
      <w:lvlText w:val="•"/>
      <w:lvlJc w:val="left"/>
      <w:pPr>
        <w:ind w:left="2405" w:hanging="284"/>
      </w:pPr>
      <w:rPr>
        <w:rFonts w:hint="default"/>
      </w:rPr>
    </w:lvl>
    <w:lvl w:ilvl="4" w:tplc="9D80BAD4">
      <w:numFmt w:val="bullet"/>
      <w:lvlText w:val="•"/>
      <w:lvlJc w:val="left"/>
      <w:pPr>
        <w:ind w:left="2866" w:hanging="284"/>
      </w:pPr>
      <w:rPr>
        <w:rFonts w:hint="default"/>
      </w:rPr>
    </w:lvl>
    <w:lvl w:ilvl="5" w:tplc="DE8A027C">
      <w:numFmt w:val="bullet"/>
      <w:lvlText w:val="•"/>
      <w:lvlJc w:val="left"/>
      <w:pPr>
        <w:ind w:left="3328" w:hanging="284"/>
      </w:pPr>
      <w:rPr>
        <w:rFonts w:hint="default"/>
      </w:rPr>
    </w:lvl>
    <w:lvl w:ilvl="6" w:tplc="A866EAE6">
      <w:numFmt w:val="bullet"/>
      <w:lvlText w:val="•"/>
      <w:lvlJc w:val="left"/>
      <w:pPr>
        <w:ind w:left="3790" w:hanging="284"/>
      </w:pPr>
      <w:rPr>
        <w:rFonts w:hint="default"/>
      </w:rPr>
    </w:lvl>
    <w:lvl w:ilvl="7" w:tplc="0A0AA1EE">
      <w:numFmt w:val="bullet"/>
      <w:lvlText w:val="•"/>
      <w:lvlJc w:val="left"/>
      <w:pPr>
        <w:ind w:left="4252" w:hanging="284"/>
      </w:pPr>
      <w:rPr>
        <w:rFonts w:hint="default"/>
      </w:rPr>
    </w:lvl>
    <w:lvl w:ilvl="8" w:tplc="AC8AB172">
      <w:numFmt w:val="bullet"/>
      <w:lvlText w:val="•"/>
      <w:lvlJc w:val="left"/>
      <w:pPr>
        <w:ind w:left="4713" w:hanging="284"/>
      </w:pPr>
      <w:rPr>
        <w:rFonts w:hint="default"/>
      </w:rPr>
    </w:lvl>
  </w:abstractNum>
  <w:abstractNum w:abstractNumId="4" w15:restartNumberingAfterBreak="0">
    <w:nsid w:val="76F721B3"/>
    <w:multiLevelType w:val="hybridMultilevel"/>
    <w:tmpl w:val="F184F3D6"/>
    <w:lvl w:ilvl="0" w:tplc="E0EEBAB2">
      <w:numFmt w:val="bullet"/>
      <w:lvlText w:val="•"/>
      <w:lvlJc w:val="left"/>
      <w:pPr>
        <w:ind w:left="480" w:hanging="150"/>
      </w:pPr>
      <w:rPr>
        <w:rFonts w:ascii="Arial" w:eastAsia="Arial" w:hAnsi="Arial" w:cs="Arial" w:hint="default"/>
        <w:color w:val="BABABA"/>
        <w:w w:val="97"/>
        <w:sz w:val="16"/>
        <w:szCs w:val="16"/>
      </w:rPr>
    </w:lvl>
    <w:lvl w:ilvl="1" w:tplc="B4A82282">
      <w:numFmt w:val="bullet"/>
      <w:lvlText w:val="•"/>
      <w:lvlJc w:val="left"/>
      <w:pPr>
        <w:ind w:left="995" w:hanging="150"/>
      </w:pPr>
      <w:rPr>
        <w:rFonts w:hint="default"/>
      </w:rPr>
    </w:lvl>
    <w:lvl w:ilvl="2" w:tplc="2788DE4A">
      <w:numFmt w:val="bullet"/>
      <w:lvlText w:val="•"/>
      <w:lvlJc w:val="left"/>
      <w:pPr>
        <w:ind w:left="1511" w:hanging="150"/>
      </w:pPr>
      <w:rPr>
        <w:rFonts w:hint="default"/>
      </w:rPr>
    </w:lvl>
    <w:lvl w:ilvl="3" w:tplc="37A068EE">
      <w:numFmt w:val="bullet"/>
      <w:lvlText w:val="•"/>
      <w:lvlJc w:val="left"/>
      <w:pPr>
        <w:ind w:left="2027" w:hanging="150"/>
      </w:pPr>
      <w:rPr>
        <w:rFonts w:hint="default"/>
      </w:rPr>
    </w:lvl>
    <w:lvl w:ilvl="4" w:tplc="FF424372">
      <w:numFmt w:val="bullet"/>
      <w:lvlText w:val="•"/>
      <w:lvlJc w:val="left"/>
      <w:pPr>
        <w:ind w:left="2542" w:hanging="150"/>
      </w:pPr>
      <w:rPr>
        <w:rFonts w:hint="default"/>
      </w:rPr>
    </w:lvl>
    <w:lvl w:ilvl="5" w:tplc="E3585102">
      <w:numFmt w:val="bullet"/>
      <w:lvlText w:val="•"/>
      <w:lvlJc w:val="left"/>
      <w:pPr>
        <w:ind w:left="3058" w:hanging="150"/>
      </w:pPr>
      <w:rPr>
        <w:rFonts w:hint="default"/>
      </w:rPr>
    </w:lvl>
    <w:lvl w:ilvl="6" w:tplc="385EF784">
      <w:numFmt w:val="bullet"/>
      <w:lvlText w:val="•"/>
      <w:lvlJc w:val="left"/>
      <w:pPr>
        <w:ind w:left="3574" w:hanging="150"/>
      </w:pPr>
      <w:rPr>
        <w:rFonts w:hint="default"/>
      </w:rPr>
    </w:lvl>
    <w:lvl w:ilvl="7" w:tplc="48C28B34">
      <w:numFmt w:val="bullet"/>
      <w:lvlText w:val="•"/>
      <w:lvlJc w:val="left"/>
      <w:pPr>
        <w:ind w:left="4090" w:hanging="150"/>
      </w:pPr>
      <w:rPr>
        <w:rFonts w:hint="default"/>
      </w:rPr>
    </w:lvl>
    <w:lvl w:ilvl="8" w:tplc="BDD89FB6">
      <w:numFmt w:val="bullet"/>
      <w:lvlText w:val="•"/>
      <w:lvlJc w:val="left"/>
      <w:pPr>
        <w:ind w:left="4605" w:hanging="150"/>
      </w:pPr>
      <w:rPr>
        <w:rFonts w:hint="default"/>
      </w:rPr>
    </w:lvl>
  </w:abstractNum>
  <w:abstractNum w:abstractNumId="5" w15:restartNumberingAfterBreak="0">
    <w:nsid w:val="7F0D64CB"/>
    <w:multiLevelType w:val="hybridMultilevel"/>
    <w:tmpl w:val="2AFEA67C"/>
    <w:lvl w:ilvl="0" w:tplc="84D8C82E">
      <w:start w:val="1"/>
      <w:numFmt w:val="decimal"/>
      <w:lvlText w:val="%1."/>
      <w:lvlJc w:val="left"/>
      <w:pPr>
        <w:ind w:left="1046" w:hanging="293"/>
        <w:jc w:val="left"/>
      </w:pPr>
      <w:rPr>
        <w:rFonts w:ascii="Arial" w:eastAsia="Arial" w:hAnsi="Arial" w:cs="Arial" w:hint="default"/>
        <w:color w:val="313131"/>
        <w:spacing w:val="-1"/>
        <w:w w:val="95"/>
        <w:sz w:val="16"/>
        <w:szCs w:val="16"/>
      </w:rPr>
    </w:lvl>
    <w:lvl w:ilvl="1" w:tplc="162883E0">
      <w:numFmt w:val="bullet"/>
      <w:lvlText w:val="•"/>
      <w:lvlJc w:val="left"/>
      <w:pPr>
        <w:ind w:left="1499" w:hanging="293"/>
      </w:pPr>
      <w:rPr>
        <w:rFonts w:hint="default"/>
      </w:rPr>
    </w:lvl>
    <w:lvl w:ilvl="2" w:tplc="C75A844C">
      <w:numFmt w:val="bullet"/>
      <w:lvlText w:val="•"/>
      <w:lvlJc w:val="left"/>
      <w:pPr>
        <w:ind w:left="1959" w:hanging="293"/>
      </w:pPr>
      <w:rPr>
        <w:rFonts w:hint="default"/>
      </w:rPr>
    </w:lvl>
    <w:lvl w:ilvl="3" w:tplc="E042BEC6">
      <w:numFmt w:val="bullet"/>
      <w:lvlText w:val="•"/>
      <w:lvlJc w:val="left"/>
      <w:pPr>
        <w:ind w:left="2419" w:hanging="293"/>
      </w:pPr>
      <w:rPr>
        <w:rFonts w:hint="default"/>
      </w:rPr>
    </w:lvl>
    <w:lvl w:ilvl="4" w:tplc="442A5AE0">
      <w:numFmt w:val="bullet"/>
      <w:lvlText w:val="•"/>
      <w:lvlJc w:val="left"/>
      <w:pPr>
        <w:ind w:left="2878" w:hanging="293"/>
      </w:pPr>
      <w:rPr>
        <w:rFonts w:hint="default"/>
      </w:rPr>
    </w:lvl>
    <w:lvl w:ilvl="5" w:tplc="A7F87B62">
      <w:numFmt w:val="bullet"/>
      <w:lvlText w:val="•"/>
      <w:lvlJc w:val="left"/>
      <w:pPr>
        <w:ind w:left="3338" w:hanging="293"/>
      </w:pPr>
      <w:rPr>
        <w:rFonts w:hint="default"/>
      </w:rPr>
    </w:lvl>
    <w:lvl w:ilvl="6" w:tplc="DCE278BE">
      <w:numFmt w:val="bullet"/>
      <w:lvlText w:val="•"/>
      <w:lvlJc w:val="left"/>
      <w:pPr>
        <w:ind w:left="3798" w:hanging="293"/>
      </w:pPr>
      <w:rPr>
        <w:rFonts w:hint="default"/>
      </w:rPr>
    </w:lvl>
    <w:lvl w:ilvl="7" w:tplc="B4DCFC82">
      <w:numFmt w:val="bullet"/>
      <w:lvlText w:val="•"/>
      <w:lvlJc w:val="left"/>
      <w:pPr>
        <w:ind w:left="4258" w:hanging="293"/>
      </w:pPr>
      <w:rPr>
        <w:rFonts w:hint="default"/>
      </w:rPr>
    </w:lvl>
    <w:lvl w:ilvl="8" w:tplc="A7BEA8F8">
      <w:numFmt w:val="bullet"/>
      <w:lvlText w:val="•"/>
      <w:lvlJc w:val="left"/>
      <w:pPr>
        <w:ind w:left="4717" w:hanging="293"/>
      </w:pPr>
      <w:rPr>
        <w:rFonts w:hint="default"/>
      </w:rPr>
    </w:lvl>
  </w:abstractNum>
  <w:abstractNum w:abstractNumId="6" w15:restartNumberingAfterBreak="0">
    <w:nsid w:val="7FF370D8"/>
    <w:multiLevelType w:val="hybridMultilevel"/>
    <w:tmpl w:val="D5D615B4"/>
    <w:lvl w:ilvl="0" w:tplc="FABC8C2A">
      <w:start w:val="3"/>
      <w:numFmt w:val="upperRoman"/>
      <w:lvlText w:val="%1."/>
      <w:lvlJc w:val="left"/>
      <w:pPr>
        <w:ind w:left="1290" w:hanging="279"/>
        <w:jc w:val="right"/>
      </w:pPr>
      <w:rPr>
        <w:rFonts w:hint="default"/>
        <w:spacing w:val="-1"/>
        <w:w w:val="130"/>
      </w:rPr>
    </w:lvl>
    <w:lvl w:ilvl="1" w:tplc="B804107A">
      <w:start w:val="1"/>
      <w:numFmt w:val="decimal"/>
      <w:lvlText w:val="%2."/>
      <w:lvlJc w:val="left"/>
      <w:pPr>
        <w:ind w:left="763" w:hanging="236"/>
        <w:jc w:val="left"/>
      </w:pPr>
      <w:rPr>
        <w:rFonts w:hint="default"/>
        <w:spacing w:val="-1"/>
        <w:w w:val="104"/>
      </w:rPr>
    </w:lvl>
    <w:lvl w:ilvl="2" w:tplc="65A8685E">
      <w:start w:val="1"/>
      <w:numFmt w:val="decimal"/>
      <w:lvlText w:val="%3."/>
      <w:lvlJc w:val="left"/>
      <w:pPr>
        <w:ind w:left="970" w:hanging="158"/>
        <w:jc w:val="left"/>
      </w:pPr>
      <w:rPr>
        <w:rFonts w:ascii="Arial" w:eastAsia="Arial" w:hAnsi="Arial" w:cs="Arial" w:hint="default"/>
        <w:b/>
        <w:bCs/>
        <w:color w:val="424242"/>
        <w:spacing w:val="-1"/>
        <w:w w:val="77"/>
        <w:sz w:val="16"/>
        <w:szCs w:val="16"/>
      </w:rPr>
    </w:lvl>
    <w:lvl w:ilvl="3" w:tplc="560EF2E8">
      <w:numFmt w:val="bullet"/>
      <w:lvlText w:val="•"/>
      <w:lvlJc w:val="left"/>
      <w:pPr>
        <w:ind w:left="980" w:hanging="158"/>
      </w:pPr>
      <w:rPr>
        <w:rFonts w:hint="default"/>
      </w:rPr>
    </w:lvl>
    <w:lvl w:ilvl="4" w:tplc="4582EFE2">
      <w:numFmt w:val="bullet"/>
      <w:lvlText w:val="•"/>
      <w:lvlJc w:val="left"/>
      <w:pPr>
        <w:ind w:left="1300" w:hanging="158"/>
      </w:pPr>
      <w:rPr>
        <w:rFonts w:hint="default"/>
      </w:rPr>
    </w:lvl>
    <w:lvl w:ilvl="5" w:tplc="6E92367E">
      <w:numFmt w:val="bullet"/>
      <w:lvlText w:val="•"/>
      <w:lvlJc w:val="left"/>
      <w:pPr>
        <w:ind w:left="1320" w:hanging="158"/>
      </w:pPr>
      <w:rPr>
        <w:rFonts w:hint="default"/>
      </w:rPr>
    </w:lvl>
    <w:lvl w:ilvl="6" w:tplc="C80884EE">
      <w:numFmt w:val="bullet"/>
      <w:lvlText w:val="•"/>
      <w:lvlJc w:val="left"/>
      <w:pPr>
        <w:ind w:left="1360" w:hanging="158"/>
      </w:pPr>
      <w:rPr>
        <w:rFonts w:hint="default"/>
      </w:rPr>
    </w:lvl>
    <w:lvl w:ilvl="7" w:tplc="414431C2">
      <w:numFmt w:val="bullet"/>
      <w:lvlText w:val="•"/>
      <w:lvlJc w:val="left"/>
      <w:pPr>
        <w:ind w:left="1540" w:hanging="158"/>
      </w:pPr>
      <w:rPr>
        <w:rFonts w:hint="default"/>
      </w:rPr>
    </w:lvl>
    <w:lvl w:ilvl="8" w:tplc="38800B10">
      <w:numFmt w:val="bullet"/>
      <w:lvlText w:val="•"/>
      <w:lvlJc w:val="left"/>
      <w:pPr>
        <w:ind w:left="976" w:hanging="158"/>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C5"/>
    <w:rsid w:val="000632A5"/>
    <w:rsid w:val="003B017C"/>
    <w:rsid w:val="005A75A3"/>
    <w:rsid w:val="00A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362C"/>
  <w15:chartTrackingRefBased/>
  <w15:docId w15:val="{01EE81E1-B5FC-4196-9868-A33C70A9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AF62C5"/>
    <w:pPr>
      <w:widowControl w:val="0"/>
      <w:autoSpaceDE w:val="0"/>
      <w:autoSpaceDN w:val="0"/>
      <w:spacing w:after="0" w:line="240" w:lineRule="auto"/>
    </w:pPr>
    <w:rPr>
      <w:rFonts w:ascii="Arial" w:eastAsia="Arial" w:hAnsi="Arial" w:cs="Arial"/>
    </w:rPr>
  </w:style>
  <w:style w:type="paragraph" w:styleId="berschrift3">
    <w:name w:val="heading 3"/>
    <w:basedOn w:val="Standard"/>
    <w:link w:val="berschrift3Zchn"/>
    <w:uiPriority w:val="1"/>
    <w:qFormat/>
    <w:rsid w:val="00AF62C5"/>
    <w:pPr>
      <w:ind w:left="129"/>
      <w:outlineLvl w:val="2"/>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rsid w:val="00AF62C5"/>
    <w:rPr>
      <w:rFonts w:ascii="Arial" w:eastAsia="Arial" w:hAnsi="Arial" w:cs="Arial"/>
      <w:b/>
      <w:bCs/>
      <w:sz w:val="16"/>
      <w:szCs w:val="16"/>
    </w:rPr>
  </w:style>
  <w:style w:type="paragraph" w:styleId="Textkrper">
    <w:name w:val="Body Text"/>
    <w:basedOn w:val="Standard"/>
    <w:link w:val="TextkrperZchn"/>
    <w:uiPriority w:val="1"/>
    <w:qFormat/>
    <w:rsid w:val="00AF62C5"/>
    <w:rPr>
      <w:sz w:val="16"/>
      <w:szCs w:val="16"/>
    </w:rPr>
  </w:style>
  <w:style w:type="character" w:customStyle="1" w:styleId="TextkrperZchn">
    <w:name w:val="Textkörper Zchn"/>
    <w:basedOn w:val="Absatz-Standardschriftart"/>
    <w:link w:val="Textkrper"/>
    <w:uiPriority w:val="1"/>
    <w:rsid w:val="00AF62C5"/>
    <w:rPr>
      <w:rFonts w:ascii="Arial" w:eastAsia="Arial" w:hAnsi="Arial" w:cs="Arial"/>
      <w:sz w:val="16"/>
      <w:szCs w:val="16"/>
    </w:rPr>
  </w:style>
  <w:style w:type="paragraph" w:styleId="Listenabsatz">
    <w:name w:val="List Paragraph"/>
    <w:basedOn w:val="Standard"/>
    <w:uiPriority w:val="1"/>
    <w:qFormat/>
    <w:rsid w:val="00AF62C5"/>
    <w:pPr>
      <w:ind w:left="390" w:hanging="275"/>
      <w:jc w:val="both"/>
    </w:pPr>
  </w:style>
  <w:style w:type="paragraph" w:styleId="Kopfzeile">
    <w:name w:val="header"/>
    <w:basedOn w:val="Standard"/>
    <w:link w:val="KopfzeileZchn"/>
    <w:uiPriority w:val="99"/>
    <w:unhideWhenUsed/>
    <w:rsid w:val="00AF62C5"/>
    <w:pPr>
      <w:tabs>
        <w:tab w:val="center" w:pos="4680"/>
        <w:tab w:val="right" w:pos="9360"/>
      </w:tabs>
    </w:pPr>
  </w:style>
  <w:style w:type="character" w:customStyle="1" w:styleId="KopfzeileZchn">
    <w:name w:val="Kopfzeile Zchn"/>
    <w:basedOn w:val="Absatz-Standardschriftart"/>
    <w:link w:val="Kopfzeile"/>
    <w:uiPriority w:val="99"/>
    <w:rsid w:val="00AF62C5"/>
    <w:rPr>
      <w:rFonts w:ascii="Arial" w:eastAsia="Arial" w:hAnsi="Arial" w:cs="Arial"/>
    </w:rPr>
  </w:style>
  <w:style w:type="paragraph" w:styleId="Fuzeile">
    <w:name w:val="footer"/>
    <w:basedOn w:val="Standard"/>
    <w:link w:val="FuzeileZchn"/>
    <w:uiPriority w:val="99"/>
    <w:unhideWhenUsed/>
    <w:rsid w:val="00AF62C5"/>
    <w:pPr>
      <w:tabs>
        <w:tab w:val="center" w:pos="4680"/>
        <w:tab w:val="right" w:pos="9360"/>
      </w:tabs>
    </w:pPr>
  </w:style>
  <w:style w:type="character" w:customStyle="1" w:styleId="FuzeileZchn">
    <w:name w:val="Fußzeile Zchn"/>
    <w:basedOn w:val="Absatz-Standardschriftart"/>
    <w:link w:val="Fuzeile"/>
    <w:uiPriority w:val="99"/>
    <w:rsid w:val="00AF62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A54AA-E002-4D4B-AD2E-3ACA1019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2021-07-05T11:34:00Z</dcterms:created>
  <dcterms:modified xsi:type="dcterms:W3CDTF">2021-07-05T11:46:00Z</dcterms:modified>
</cp:coreProperties>
</file>